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11.01.2022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00ff"/>
          <w:sz w:val="24"/>
          <w:szCs w:val="24"/>
        </w:rPr>
      </w:pPr>
      <w:r w:rsidDel="00000000" w:rsidR="00000000" w:rsidRPr="00000000">
        <w:rPr>
          <w:rFonts w:ascii="Arial" w:cs="Arial" w:eastAsia="Arial" w:hAnsi="Arial"/>
          <w:color w:val="0000ff"/>
          <w:sz w:val="24"/>
          <w:szCs w:val="24"/>
          <w:rtl w:val="0"/>
        </w:rPr>
        <w:t xml:space="preserve">Professeur présent: Aurel Mantaroșie</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Travailleurs autonomes pour le développement personnel.</w:t>
      </w:r>
    </w:p>
    <w:p w:rsidR="00000000" w:rsidDel="00000000" w:rsidP="00000000" w:rsidRDefault="00000000" w:rsidRPr="00000000" w14:paraId="00000005">
      <w:pPr>
        <w:numPr>
          <w:ilvl w:val="0"/>
          <w:numId w:val="1"/>
        </w:numPr>
        <w:pBdr>
          <w:top w:color="auto" w:space="0" w:sz="0" w:val="none"/>
          <w:bottom w:color="auto" w:space="0" w:sz="0" w:val="none"/>
          <w:between w:color="auto" w:space="0" w:sz="0" w:val="none"/>
        </w:pBdr>
        <w:spacing w:before="200" w:lineRule="auto"/>
        <w:ind w:left="1020" w:hanging="360"/>
        <w:rPr>
          <w:rFonts w:ascii="Lora" w:cs="Lora" w:eastAsia="Lora" w:hAnsi="Lora"/>
          <w:color w:val="1c1c1c"/>
          <w:sz w:val="24"/>
          <w:szCs w:val="24"/>
        </w:rPr>
      </w:pPr>
      <w:r w:rsidDel="00000000" w:rsidR="00000000" w:rsidRPr="00000000">
        <w:rPr>
          <w:rFonts w:ascii="Open Sans" w:cs="Open Sans" w:eastAsia="Open Sans" w:hAnsi="Open Sans"/>
          <w:b w:val="1"/>
          <w:i w:val="1"/>
          <w:u w:val="single"/>
          <w:rtl w:val="0"/>
        </w:rPr>
        <w:t xml:space="preserve">Devoir</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line="397.44" w:lineRule="auto"/>
        <w:ind w:firstLine="1140"/>
        <w:rPr>
          <w:rFonts w:ascii="Open Sans" w:cs="Open Sans" w:eastAsia="Open Sans" w:hAnsi="Open Sans"/>
        </w:rPr>
      </w:pPr>
      <w:r w:rsidDel="00000000" w:rsidR="00000000" w:rsidRPr="00000000">
        <w:rPr>
          <w:rFonts w:ascii="Open Sans" w:cs="Open Sans" w:eastAsia="Open Sans" w:hAnsi="Open Sans"/>
          <w:rtl w:val="0"/>
        </w:rPr>
        <w:t xml:space="preserve">L’auteur de cette division estime que l’administration est beaucoup plus efficace lorsqu’il s’agit d’une zone géographique plus petite, ce qui permet d’effectuer des analyses économiques et sociales beaucoup plus rapidement.</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97.44" w:lineRule="auto"/>
        <w:ind w:firstLine="1140"/>
        <w:rPr>
          <w:rFonts w:ascii="Open Sans" w:cs="Open Sans" w:eastAsia="Open Sans" w:hAnsi="Open Sans"/>
        </w:rPr>
      </w:pPr>
      <w:r w:rsidDel="00000000" w:rsidR="00000000" w:rsidRPr="00000000">
        <w:rPr>
          <w:rFonts w:ascii="Open Sans" w:cs="Open Sans" w:eastAsia="Open Sans" w:hAnsi="Open Sans"/>
          <w:rtl w:val="0"/>
        </w:rPr>
        <w:t xml:space="preserve">Je crois que cette division du territoire est plus efficace pour le développement du secteur du tourisme que celui existant, permettant une meilleure utilisation des ressources existantes dans chaque région de développement, mais une meilleure identification des possibilités de développement du tourisme. Cependant, la division du territoire de la Roumanie en régions de développement doit servir non seulement un secteur spécifique. Analyser les indicateurs qui caractérisent les 11 régions de développement (PIB régional par habitant, taux de chômage, indicateurs démographiques, densité du réseau routier, soins médicaux de la population, etc.) Je conviens que cette division sert les intérêts de tous les secteurs économiques et peut mener au développement de chaque région, et même du pays.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line="397.44" w:lineRule="auto"/>
        <w:ind w:firstLine="1140"/>
        <w:rPr>
          <w:rFonts w:ascii="Open Sans" w:cs="Open Sans" w:eastAsia="Open Sans" w:hAnsi="Open Sans"/>
        </w:rPr>
      </w:pPr>
      <w:r w:rsidDel="00000000" w:rsidR="00000000" w:rsidRPr="00000000">
        <w:rPr>
          <w:rFonts w:ascii="Open Sans" w:cs="Open Sans" w:eastAsia="Open Sans" w:hAnsi="Open Sans"/>
          <w:rtl w:val="0"/>
        </w:rPr>
        <w:t xml:space="preserve">Les voies prioritaires ou les voies problématiques peuvent également être définies comme les unités de base de la politique régionale. Un domaine prioritaire ou des voies problématiques. Un domaine prioritaire est un regroupement de villes, de communes ou de comtés, qui sont continus en termes territoriaux, caractérisés par des profils de problèmes similaires, qui peuvent être résolus par des politiques régionales.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line="397.44" w:lineRule="auto"/>
        <w:rPr>
          <w:rFonts w:ascii="Open Sans" w:cs="Open Sans" w:eastAsia="Open Sans" w:hAnsi="Open Sans"/>
        </w:rPr>
      </w:pPr>
      <w:r w:rsidDel="00000000" w:rsidR="00000000" w:rsidRPr="00000000">
        <w:rPr>
          <w:rFonts w:ascii="Open Sans" w:cs="Open Sans" w:eastAsia="Open Sans" w:hAnsi="Open Sans"/>
          <w:rtl w:val="0"/>
        </w:rPr>
        <w:t xml:space="preserve">Les domaines prioritaires peuvent être :</w:t>
      </w:r>
    </w:p>
    <w:p w:rsidR="00000000" w:rsidDel="00000000" w:rsidP="00000000" w:rsidRDefault="00000000" w:rsidRPr="00000000" w14:paraId="0000000B">
      <w:pPr>
        <w:numPr>
          <w:ilvl w:val="0"/>
          <w:numId w:val="2"/>
        </w:numPr>
        <w:pBdr>
          <w:top w:color="auto" w:space="0" w:sz="0" w:val="none"/>
        </w:pBdr>
        <w:spacing w:after="0" w:afterAutospacing="0" w:before="200" w:lineRule="auto"/>
        <w:ind w:left="1020" w:hanging="360"/>
        <w:rPr>
          <w:rFonts w:ascii="Lora" w:cs="Lora" w:eastAsia="Lora" w:hAnsi="Lora"/>
          <w:color w:val="1c1c1c"/>
          <w:sz w:val="24"/>
          <w:szCs w:val="24"/>
        </w:rPr>
      </w:pPr>
      <w:r w:rsidDel="00000000" w:rsidR="00000000" w:rsidRPr="00000000">
        <w:rPr>
          <w:rFonts w:ascii="Open Sans" w:cs="Open Sans" w:eastAsia="Open Sans" w:hAnsi="Open Sans"/>
          <w:rtl w:val="0"/>
        </w:rPr>
        <w:t xml:space="preserve">les sous-régions de développement en tant que comtés ou groupes d’une même région caractérisés par des problèmes graves de nature globale spécifique;</w:t>
      </w:r>
    </w:p>
    <w:p w:rsidR="00000000" w:rsidDel="00000000" w:rsidP="00000000" w:rsidRDefault="00000000" w:rsidRPr="00000000" w14:paraId="0000000C">
      <w:pPr>
        <w:numPr>
          <w:ilvl w:val="0"/>
          <w:numId w:val="2"/>
        </w:numPr>
        <w:pBdr>
          <w:top w:color="auto" w:space="0" w:sz="0" w:val="none"/>
        </w:pBdr>
        <w:spacing w:after="0" w:afterAutospacing="0" w:before="0" w:beforeAutospacing="0" w:lineRule="auto"/>
        <w:ind w:left="1020" w:hanging="360"/>
        <w:rPr>
          <w:rFonts w:ascii="Lora" w:cs="Lora" w:eastAsia="Lora" w:hAnsi="Lora"/>
          <w:color w:val="1c1c1c"/>
          <w:sz w:val="24"/>
          <w:szCs w:val="24"/>
        </w:rPr>
      </w:pPr>
      <w:r w:rsidDel="00000000" w:rsidR="00000000" w:rsidRPr="00000000">
        <w:rPr>
          <w:rFonts w:ascii="Open Sans" w:cs="Open Sans" w:eastAsia="Open Sans" w:hAnsi="Open Sans"/>
          <w:rtl w:val="0"/>
        </w:rPr>
        <w:t xml:space="preserve">groupes de municipalités ou de villes voisines ayant des problèmes spécifiques similaires au sein des mêmes comtés ou des comtés voisins;</w:t>
      </w:r>
    </w:p>
    <w:p w:rsidR="00000000" w:rsidDel="00000000" w:rsidP="00000000" w:rsidRDefault="00000000" w:rsidRPr="00000000" w14:paraId="0000000D">
      <w:pPr>
        <w:numPr>
          <w:ilvl w:val="0"/>
          <w:numId w:val="2"/>
        </w:numPr>
        <w:pBdr>
          <w:top w:color="auto" w:space="0" w:sz="0" w:val="none"/>
          <w:bottom w:color="auto" w:space="0" w:sz="0" w:val="none"/>
        </w:pBdr>
        <w:spacing w:before="0" w:beforeAutospacing="0" w:lineRule="auto"/>
        <w:ind w:left="1020" w:hanging="360"/>
        <w:rPr>
          <w:rFonts w:ascii="Lora" w:cs="Lora" w:eastAsia="Lora" w:hAnsi="Lora"/>
          <w:color w:val="1c1c1c"/>
          <w:sz w:val="24"/>
          <w:szCs w:val="24"/>
        </w:rPr>
      </w:pPr>
      <w:r w:rsidDel="00000000" w:rsidR="00000000" w:rsidRPr="00000000">
        <w:rPr>
          <w:rFonts w:ascii="Open Sans" w:cs="Open Sans" w:eastAsia="Open Sans" w:hAnsi="Open Sans"/>
          <w:rtl w:val="0"/>
        </w:rPr>
        <w:t xml:space="preserve">groupes de municipalités ou de villes voisines ayant des problèmes complexes similaires au sein d’un même comté ou d’un comté voisin;</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